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C2F" w:rsidRPr="00CB6B84" w:rsidRDefault="001A4C2F" w:rsidP="001A4C2F">
      <w:pPr>
        <w:pStyle w:val="Ttulo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B6B84">
        <w:rPr>
          <w:rFonts w:ascii="Arial" w:hAnsi="Arial" w:cs="Arial"/>
          <w:b/>
          <w:bCs/>
          <w:color w:val="auto"/>
          <w:sz w:val="22"/>
          <w:szCs w:val="22"/>
        </w:rPr>
        <w:t>ANEXO 02: MODELO DE ACTA DE ASAMBLEA DE LA OAM</w:t>
      </w:r>
    </w:p>
    <w:p w:rsidR="001A4C2F" w:rsidRPr="00CB6B84" w:rsidRDefault="001A4C2F" w:rsidP="001A4C2F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1A4C2F" w:rsidRPr="00CB6B84" w:rsidRDefault="001A4C2F" w:rsidP="001A4C2F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CB6B84">
        <w:rPr>
          <w:rFonts w:ascii="Arial" w:hAnsi="Arial" w:cs="Arial"/>
          <w:b/>
          <w:u w:val="single"/>
        </w:rPr>
        <w:t>ACTA DE ASAMBLEA</w:t>
      </w:r>
    </w:p>
    <w:p w:rsidR="001A4C2F" w:rsidRPr="00CB6B84" w:rsidRDefault="001A4C2F" w:rsidP="001A4C2F">
      <w:pPr>
        <w:widowControl w:val="0"/>
        <w:spacing w:after="0" w:line="240" w:lineRule="auto"/>
        <w:ind w:left="142"/>
        <w:contextualSpacing/>
        <w:jc w:val="center"/>
        <w:rPr>
          <w:rFonts w:ascii="Arial" w:hAnsi="Arial" w:cs="Arial"/>
          <w:b/>
          <w:color w:val="595959"/>
          <w:sz w:val="24"/>
          <w:szCs w:val="24"/>
        </w:rPr>
      </w:pPr>
    </w:p>
    <w:p w:rsidR="001A4C2F" w:rsidRPr="00CB6B84" w:rsidRDefault="001A4C2F" w:rsidP="001A4C2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A4C2F" w:rsidRPr="00CB6B84" w:rsidRDefault="001A4C2F" w:rsidP="001A4C2F">
      <w:pPr>
        <w:widowControl w:val="0"/>
        <w:tabs>
          <w:tab w:val="left" w:pos="204"/>
        </w:tabs>
        <w:spacing w:after="0" w:line="240" w:lineRule="auto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En la localidad/comunidad/caserío de …………………………………</w:t>
      </w:r>
      <w:proofErr w:type="gramStart"/>
      <w:r w:rsidRPr="00CB6B84">
        <w:rPr>
          <w:rFonts w:ascii="Arial" w:hAnsi="Arial" w:cs="Arial"/>
        </w:rPr>
        <w:t>…….</w:t>
      </w:r>
      <w:proofErr w:type="gramEnd"/>
      <w:r w:rsidRPr="00CB6B84">
        <w:rPr>
          <w:rFonts w:ascii="Arial" w:hAnsi="Arial" w:cs="Arial"/>
        </w:rPr>
        <w:t>, del distrito de ………………..., provincia de ………………………., departamento de ……………………., siendo las ……. horas del día</w:t>
      </w:r>
      <w:proofErr w:type="gramStart"/>
      <w:r w:rsidRPr="00CB6B84">
        <w:rPr>
          <w:rFonts w:ascii="Arial" w:hAnsi="Arial" w:cs="Arial"/>
        </w:rPr>
        <w:t xml:space="preserve"> ….</w:t>
      </w:r>
      <w:proofErr w:type="gramEnd"/>
      <w:r w:rsidRPr="00CB6B84">
        <w:rPr>
          <w:rFonts w:ascii="Arial" w:hAnsi="Arial" w:cs="Arial"/>
        </w:rPr>
        <w:t>….., de .................... de 202</w:t>
      </w:r>
      <w:r>
        <w:rPr>
          <w:rFonts w:ascii="Arial" w:hAnsi="Arial" w:cs="Arial"/>
        </w:rPr>
        <w:t>X</w:t>
      </w:r>
      <w:r w:rsidRPr="00CB6B84">
        <w:rPr>
          <w:rFonts w:ascii="Arial" w:hAnsi="Arial" w:cs="Arial"/>
        </w:rPr>
        <w:t>, nos reunimos los miembros de la OAM denominada “………………………………………</w:t>
      </w:r>
      <w:proofErr w:type="gramStart"/>
      <w:r w:rsidRPr="00CB6B84">
        <w:rPr>
          <w:rFonts w:ascii="Arial" w:hAnsi="Arial" w:cs="Arial"/>
        </w:rPr>
        <w:t>…….</w:t>
      </w:r>
      <w:proofErr w:type="gramEnd"/>
      <w:r w:rsidRPr="00CB6B84">
        <w:rPr>
          <w:rFonts w:ascii="Arial" w:hAnsi="Arial" w:cs="Arial"/>
        </w:rPr>
        <w:t>………………………………………….…………”, participando …….... socios de un total de………, en sesión …………………</w:t>
      </w:r>
      <w:proofErr w:type="gramStart"/>
      <w:r w:rsidRPr="00CB6B84">
        <w:rPr>
          <w:rFonts w:ascii="Arial" w:hAnsi="Arial" w:cs="Arial"/>
        </w:rPr>
        <w:t>…….</w:t>
      </w:r>
      <w:proofErr w:type="gramEnd"/>
      <w:r w:rsidRPr="00CB6B84">
        <w:rPr>
          <w:rFonts w:ascii="Arial" w:hAnsi="Arial" w:cs="Arial"/>
        </w:rPr>
        <w:t>. (</w:t>
      </w:r>
      <w:r w:rsidRPr="00CB6B84">
        <w:rPr>
          <w:rFonts w:ascii="Arial" w:hAnsi="Arial" w:cs="Arial"/>
          <w:i/>
        </w:rPr>
        <w:t>Indicar si es ordinaria o extraordinaria</w:t>
      </w:r>
      <w:r w:rsidRPr="00CB6B84">
        <w:rPr>
          <w:rFonts w:ascii="Arial" w:hAnsi="Arial" w:cs="Arial"/>
        </w:rPr>
        <w:t>), según convocatoria efectuada de conformidad con los estatutos para tratar la siguiente agenda:</w:t>
      </w:r>
    </w:p>
    <w:p w:rsidR="001A4C2F" w:rsidRPr="00CB6B84" w:rsidRDefault="001A4C2F" w:rsidP="001A4C2F">
      <w:pPr>
        <w:widowControl w:val="0"/>
        <w:tabs>
          <w:tab w:val="left" w:pos="204"/>
        </w:tabs>
        <w:spacing w:after="0" w:line="240" w:lineRule="auto"/>
        <w:jc w:val="both"/>
        <w:rPr>
          <w:rFonts w:ascii="Arial" w:hAnsi="Arial" w:cs="Arial"/>
        </w:rPr>
      </w:pPr>
    </w:p>
    <w:p w:rsidR="001A4C2F" w:rsidRPr="00CB6B84" w:rsidRDefault="001A4C2F" w:rsidP="001A4C2F">
      <w:pPr>
        <w:pStyle w:val="Prrafodelista"/>
        <w:widowControl w:val="0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Aprobar la participación para acceder a la subvención económica de la EEMRI 2024, con AGROIDEAS.</w:t>
      </w:r>
    </w:p>
    <w:p w:rsidR="001A4C2F" w:rsidRPr="00CB6B84" w:rsidRDefault="001A4C2F" w:rsidP="001A4C2F">
      <w:pPr>
        <w:pStyle w:val="Prrafodelista"/>
        <w:widowControl w:val="0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Aprobar las modificaciones necesarias al Padrón de Socios de la organización.</w:t>
      </w:r>
    </w:p>
    <w:p w:rsidR="001A4C2F" w:rsidRPr="00CB6B84" w:rsidRDefault="001A4C2F" w:rsidP="001A4C2F">
      <w:pPr>
        <w:pStyle w:val="Prrafodelista"/>
        <w:widowControl w:val="0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Aprobar la relación de socias participantes en la subvención.</w:t>
      </w:r>
    </w:p>
    <w:p w:rsidR="001A4C2F" w:rsidRPr="00CB6B84" w:rsidRDefault="001A4C2F" w:rsidP="001A4C2F">
      <w:pPr>
        <w:pStyle w:val="Prrafodelista"/>
        <w:widowControl w:val="0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Realizar las gestiones necesarias en la OAM para poder postular a la subvención económica de la EEMRI 2024 (revisión de padrón de socios, trámites administrativos y legales necesarios, otros).</w:t>
      </w:r>
    </w:p>
    <w:p w:rsidR="001A4C2F" w:rsidRPr="00CB6B84" w:rsidRDefault="001A4C2F" w:rsidP="001A4C2F">
      <w:pPr>
        <w:widowControl w:val="0"/>
        <w:tabs>
          <w:tab w:val="left" w:pos="204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1A4C2F" w:rsidRPr="00CB6B84" w:rsidRDefault="001A4C2F" w:rsidP="001A4C2F">
      <w:pPr>
        <w:widowControl w:val="0"/>
        <w:tabs>
          <w:tab w:val="left" w:pos="204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CB6B84">
        <w:rPr>
          <w:rFonts w:ascii="Arial" w:hAnsi="Arial" w:cs="Arial"/>
          <w:b/>
        </w:rPr>
        <w:t>ACUERDOS.</w:t>
      </w:r>
    </w:p>
    <w:p w:rsidR="001A4C2F" w:rsidRPr="00CB6B84" w:rsidRDefault="001A4C2F" w:rsidP="001A4C2F">
      <w:pPr>
        <w:widowControl w:val="0"/>
        <w:tabs>
          <w:tab w:val="left" w:pos="204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1A4C2F" w:rsidRPr="00CB6B84" w:rsidRDefault="001A4C2F" w:rsidP="001A4C2F">
      <w:pPr>
        <w:pStyle w:val="Prrafodelista"/>
        <w:widowControl w:val="0"/>
        <w:numPr>
          <w:ilvl w:val="0"/>
          <w:numId w:val="2"/>
        </w:numPr>
        <w:tabs>
          <w:tab w:val="left" w:pos="20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Aprobar la participación de la OAM denominada “…………………………………………………</w:t>
      </w:r>
      <w:proofErr w:type="gramStart"/>
      <w:r w:rsidRPr="00CB6B84">
        <w:rPr>
          <w:rFonts w:ascii="Arial" w:hAnsi="Arial" w:cs="Arial"/>
        </w:rPr>
        <w:t>…….</w:t>
      </w:r>
      <w:proofErr w:type="gramEnd"/>
      <w:r w:rsidRPr="00CB6B84">
        <w:rPr>
          <w:rFonts w:ascii="Arial" w:hAnsi="Arial" w:cs="Arial"/>
        </w:rPr>
        <w:t>………………………………………….…………, para acceder a la subvención económica de la EEMRI 2024, con AGROIDEAS.</w:t>
      </w:r>
      <w:r w:rsidRPr="00CB6B84" w:rsidDel="007F2305">
        <w:rPr>
          <w:rFonts w:ascii="Arial" w:hAnsi="Arial" w:cs="Arial"/>
        </w:rPr>
        <w:t xml:space="preserve"> </w:t>
      </w:r>
    </w:p>
    <w:p w:rsidR="001A4C2F" w:rsidRPr="00CB6B84" w:rsidRDefault="001A4C2F" w:rsidP="001A4C2F">
      <w:pPr>
        <w:pStyle w:val="Prrafodelista"/>
        <w:widowControl w:val="0"/>
        <w:numPr>
          <w:ilvl w:val="0"/>
          <w:numId w:val="2"/>
        </w:numPr>
        <w:tabs>
          <w:tab w:val="left" w:pos="20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Aprobar el padrón de socios activos de la OAM, según el cuadro anexo.</w:t>
      </w:r>
    </w:p>
    <w:p w:rsidR="001A4C2F" w:rsidRPr="00CB6B84" w:rsidRDefault="001A4C2F" w:rsidP="001A4C2F">
      <w:pPr>
        <w:pStyle w:val="Prrafodelista"/>
        <w:widowControl w:val="0"/>
        <w:numPr>
          <w:ilvl w:val="0"/>
          <w:numId w:val="2"/>
        </w:numPr>
        <w:tabs>
          <w:tab w:val="left" w:pos="20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Aprobar la relación de socias participantes en la subvención económica de la EEMRI 2024, según el cuadro anexo.</w:t>
      </w:r>
    </w:p>
    <w:p w:rsidR="001A4C2F" w:rsidRPr="00CB6B84" w:rsidRDefault="001A4C2F" w:rsidP="001A4C2F">
      <w:pPr>
        <w:pStyle w:val="Prrafodelista"/>
        <w:widowControl w:val="0"/>
        <w:numPr>
          <w:ilvl w:val="0"/>
          <w:numId w:val="2"/>
        </w:numPr>
        <w:tabs>
          <w:tab w:val="left" w:pos="20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Encargar a los directivos de la OAM realizar las gestiones necesarias en la organización para poder postular a la subvención económica de la EEMRI 2024(revisión de padrón de socios, trámites administrativos y legales necesarios, otros).</w:t>
      </w:r>
    </w:p>
    <w:p w:rsidR="001A4C2F" w:rsidRPr="00CB6B84" w:rsidRDefault="001A4C2F" w:rsidP="001A4C2F">
      <w:pPr>
        <w:widowControl w:val="0"/>
        <w:tabs>
          <w:tab w:val="left" w:pos="204"/>
        </w:tabs>
        <w:spacing w:after="0" w:line="240" w:lineRule="auto"/>
        <w:jc w:val="both"/>
        <w:rPr>
          <w:rFonts w:ascii="Arial" w:hAnsi="Arial" w:cs="Arial"/>
        </w:rPr>
      </w:pPr>
    </w:p>
    <w:p w:rsidR="001A4C2F" w:rsidRPr="00CB6B84" w:rsidRDefault="001A4C2F" w:rsidP="001A4C2F">
      <w:pPr>
        <w:widowControl w:val="0"/>
        <w:tabs>
          <w:tab w:val="left" w:pos="204"/>
        </w:tabs>
        <w:spacing w:after="0" w:line="240" w:lineRule="auto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 xml:space="preserve">Una vez agotada la agenda y no presentándose ninguna otra intervención, se da lectura a los acuerdos del Acta y después de aprobar la misma, se da por terminada la asamblea siendo las </w:t>
      </w:r>
      <w:proofErr w:type="gramStart"/>
      <w:r w:rsidRPr="00CB6B84">
        <w:rPr>
          <w:rFonts w:ascii="Arial" w:hAnsi="Arial" w:cs="Arial"/>
        </w:rPr>
        <w:t>…….</w:t>
      </w:r>
      <w:proofErr w:type="gramEnd"/>
      <w:r w:rsidRPr="00CB6B84">
        <w:rPr>
          <w:rFonts w:ascii="Arial" w:hAnsi="Arial" w:cs="Arial"/>
        </w:rPr>
        <w:t>.……….. horas, firmando todos los asistentes en señal de conformidad (o poniendo su huella digital de ser el caso).</w:t>
      </w:r>
    </w:p>
    <w:p w:rsidR="001A4C2F" w:rsidRPr="00CB6B84" w:rsidRDefault="001A4C2F" w:rsidP="001A4C2F">
      <w:pPr>
        <w:widowControl w:val="0"/>
        <w:tabs>
          <w:tab w:val="left" w:pos="204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1A4C2F" w:rsidRPr="00CB6B84" w:rsidRDefault="001A4C2F" w:rsidP="001A4C2F">
      <w:pPr>
        <w:spacing w:after="0" w:line="240" w:lineRule="auto"/>
        <w:contextualSpacing/>
        <w:rPr>
          <w:rFonts w:ascii="Arial" w:hAnsi="Arial" w:cs="Arial"/>
          <w:b/>
        </w:rPr>
      </w:pPr>
    </w:p>
    <w:p w:rsidR="001A4C2F" w:rsidRPr="00CB6B84" w:rsidRDefault="001A4C2F" w:rsidP="001A4C2F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</w:p>
    <w:p w:rsidR="001A4C2F" w:rsidRPr="00CB6B84" w:rsidRDefault="001A4C2F" w:rsidP="001A4C2F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</w:p>
    <w:p w:rsidR="001A4C2F" w:rsidRPr="00CB6B84" w:rsidRDefault="001A4C2F" w:rsidP="001A4C2F">
      <w:pPr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0EB9D9E" wp14:editId="0A0A8BD2">
                <wp:simplePos x="0" y="0"/>
                <wp:positionH relativeFrom="column">
                  <wp:posOffset>1369060</wp:posOffset>
                </wp:positionH>
                <wp:positionV relativeFrom="paragraph">
                  <wp:posOffset>86359</wp:posOffset>
                </wp:positionV>
                <wp:extent cx="3275965" cy="0"/>
                <wp:effectExtent l="0" t="0" r="0" b="0"/>
                <wp:wrapNone/>
                <wp:docPr id="1986530515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759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BECE6" id="Conector recto 8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07.8pt,6.8pt" to="365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B6B84">
        <w:rPr>
          <w:rFonts w:ascii="Arial" w:hAnsi="Arial" w:cs="Arial"/>
          <w:sz w:val="20"/>
          <w:szCs w:val="20"/>
        </w:rPr>
        <w:t xml:space="preserve">   </w:t>
      </w:r>
    </w:p>
    <w:p w:rsidR="001A4C2F" w:rsidRPr="00CB6B84" w:rsidRDefault="001A4C2F" w:rsidP="001A4C2F">
      <w:pPr>
        <w:spacing w:after="0" w:line="240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 xml:space="preserve">Firma y sello </w:t>
      </w:r>
    </w:p>
    <w:p w:rsidR="001A4C2F" w:rsidRPr="00CB6B84" w:rsidRDefault="001A4C2F" w:rsidP="001A4C2F">
      <w:pPr>
        <w:spacing w:after="0" w:line="240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</w:p>
    <w:p w:rsidR="001A4C2F" w:rsidRPr="001A4C2F" w:rsidRDefault="001A4C2F">
      <w:pPr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</w:p>
    <w:sectPr w:rsidR="001A4C2F" w:rsidRPr="001A4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B174F"/>
    <w:multiLevelType w:val="hybridMultilevel"/>
    <w:tmpl w:val="C8004410"/>
    <w:lvl w:ilvl="0" w:tplc="280A000F">
      <w:start w:val="1"/>
      <w:numFmt w:val="decimal"/>
      <w:lvlText w:val="%1."/>
      <w:lvlJc w:val="left"/>
      <w:pPr>
        <w:ind w:left="1644" w:hanging="360"/>
      </w:pPr>
    </w:lvl>
    <w:lvl w:ilvl="1" w:tplc="280A0019" w:tentative="1">
      <w:start w:val="1"/>
      <w:numFmt w:val="lowerLetter"/>
      <w:lvlText w:val="%2."/>
      <w:lvlJc w:val="left"/>
      <w:pPr>
        <w:ind w:left="2364" w:hanging="360"/>
      </w:pPr>
    </w:lvl>
    <w:lvl w:ilvl="2" w:tplc="280A001B" w:tentative="1">
      <w:start w:val="1"/>
      <w:numFmt w:val="lowerRoman"/>
      <w:lvlText w:val="%3."/>
      <w:lvlJc w:val="right"/>
      <w:pPr>
        <w:ind w:left="3084" w:hanging="180"/>
      </w:pPr>
    </w:lvl>
    <w:lvl w:ilvl="3" w:tplc="280A000F" w:tentative="1">
      <w:start w:val="1"/>
      <w:numFmt w:val="decimal"/>
      <w:lvlText w:val="%4."/>
      <w:lvlJc w:val="left"/>
      <w:pPr>
        <w:ind w:left="3804" w:hanging="360"/>
      </w:pPr>
    </w:lvl>
    <w:lvl w:ilvl="4" w:tplc="280A0019" w:tentative="1">
      <w:start w:val="1"/>
      <w:numFmt w:val="lowerLetter"/>
      <w:lvlText w:val="%5."/>
      <w:lvlJc w:val="left"/>
      <w:pPr>
        <w:ind w:left="4524" w:hanging="360"/>
      </w:pPr>
    </w:lvl>
    <w:lvl w:ilvl="5" w:tplc="280A001B" w:tentative="1">
      <w:start w:val="1"/>
      <w:numFmt w:val="lowerRoman"/>
      <w:lvlText w:val="%6."/>
      <w:lvlJc w:val="right"/>
      <w:pPr>
        <w:ind w:left="5244" w:hanging="180"/>
      </w:pPr>
    </w:lvl>
    <w:lvl w:ilvl="6" w:tplc="280A000F" w:tentative="1">
      <w:start w:val="1"/>
      <w:numFmt w:val="decimal"/>
      <w:lvlText w:val="%7."/>
      <w:lvlJc w:val="left"/>
      <w:pPr>
        <w:ind w:left="5964" w:hanging="360"/>
      </w:pPr>
    </w:lvl>
    <w:lvl w:ilvl="7" w:tplc="280A0019" w:tentative="1">
      <w:start w:val="1"/>
      <w:numFmt w:val="lowerLetter"/>
      <w:lvlText w:val="%8."/>
      <w:lvlJc w:val="left"/>
      <w:pPr>
        <w:ind w:left="6684" w:hanging="360"/>
      </w:pPr>
    </w:lvl>
    <w:lvl w:ilvl="8" w:tplc="280A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 w15:restartNumberingAfterBreak="0">
    <w:nsid w:val="311B245A"/>
    <w:multiLevelType w:val="hybridMultilevel"/>
    <w:tmpl w:val="9064C1DE"/>
    <w:lvl w:ilvl="0" w:tplc="280A000F">
      <w:start w:val="1"/>
      <w:numFmt w:val="decimal"/>
      <w:lvlText w:val="%1."/>
      <w:lvlJc w:val="left"/>
      <w:pPr>
        <w:ind w:left="924" w:hanging="360"/>
      </w:pPr>
    </w:lvl>
    <w:lvl w:ilvl="1" w:tplc="280A0019" w:tentative="1">
      <w:start w:val="1"/>
      <w:numFmt w:val="lowerLetter"/>
      <w:lvlText w:val="%2."/>
      <w:lvlJc w:val="left"/>
      <w:pPr>
        <w:ind w:left="1644" w:hanging="360"/>
      </w:pPr>
    </w:lvl>
    <w:lvl w:ilvl="2" w:tplc="280A001B" w:tentative="1">
      <w:start w:val="1"/>
      <w:numFmt w:val="lowerRoman"/>
      <w:lvlText w:val="%3."/>
      <w:lvlJc w:val="right"/>
      <w:pPr>
        <w:ind w:left="2364" w:hanging="180"/>
      </w:pPr>
    </w:lvl>
    <w:lvl w:ilvl="3" w:tplc="280A000F" w:tentative="1">
      <w:start w:val="1"/>
      <w:numFmt w:val="decimal"/>
      <w:lvlText w:val="%4."/>
      <w:lvlJc w:val="left"/>
      <w:pPr>
        <w:ind w:left="3084" w:hanging="360"/>
      </w:pPr>
    </w:lvl>
    <w:lvl w:ilvl="4" w:tplc="280A0019" w:tentative="1">
      <w:start w:val="1"/>
      <w:numFmt w:val="lowerLetter"/>
      <w:lvlText w:val="%5."/>
      <w:lvlJc w:val="left"/>
      <w:pPr>
        <w:ind w:left="3804" w:hanging="360"/>
      </w:pPr>
    </w:lvl>
    <w:lvl w:ilvl="5" w:tplc="280A001B" w:tentative="1">
      <w:start w:val="1"/>
      <w:numFmt w:val="lowerRoman"/>
      <w:lvlText w:val="%6."/>
      <w:lvlJc w:val="right"/>
      <w:pPr>
        <w:ind w:left="4524" w:hanging="180"/>
      </w:pPr>
    </w:lvl>
    <w:lvl w:ilvl="6" w:tplc="280A000F" w:tentative="1">
      <w:start w:val="1"/>
      <w:numFmt w:val="decimal"/>
      <w:lvlText w:val="%7."/>
      <w:lvlJc w:val="left"/>
      <w:pPr>
        <w:ind w:left="5244" w:hanging="360"/>
      </w:pPr>
    </w:lvl>
    <w:lvl w:ilvl="7" w:tplc="280A0019" w:tentative="1">
      <w:start w:val="1"/>
      <w:numFmt w:val="lowerLetter"/>
      <w:lvlText w:val="%8."/>
      <w:lvlJc w:val="left"/>
      <w:pPr>
        <w:ind w:left="5964" w:hanging="360"/>
      </w:pPr>
    </w:lvl>
    <w:lvl w:ilvl="8" w:tplc="280A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2F"/>
    <w:rsid w:val="001A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2AD76"/>
  <w15:chartTrackingRefBased/>
  <w15:docId w15:val="{ACB7C082-5D68-472D-9750-12A4F213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C2F"/>
  </w:style>
  <w:style w:type="paragraph" w:styleId="Ttulo1">
    <w:name w:val="heading 1"/>
    <w:basedOn w:val="Normal"/>
    <w:next w:val="Normal"/>
    <w:link w:val="Ttulo1Car"/>
    <w:uiPriority w:val="9"/>
    <w:qFormat/>
    <w:rsid w:val="001A4C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4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aliases w:val="Fundamentacion,Titulo de Fígura,TITULO A,Akapit z listą BS,Cuadro 2-1,Lista 123,Párrafo de lista2,Footnote,List Paragraph1,Lista vistosa - Énfasis 11,Bulleted List,Cita Pie de Página,titulo,Iz - Párrafo de lista,Sivsa Parrafo,Viñeta,N°"/>
    <w:basedOn w:val="Normal"/>
    <w:link w:val="PrrafodelistaCar"/>
    <w:uiPriority w:val="34"/>
    <w:qFormat/>
    <w:rsid w:val="001A4C2F"/>
    <w:pPr>
      <w:ind w:left="720"/>
      <w:contextualSpacing/>
    </w:pPr>
  </w:style>
  <w:style w:type="character" w:customStyle="1" w:styleId="PrrafodelistaCar">
    <w:name w:val="Párrafo de lista Car"/>
    <w:aliases w:val="Fundamentacion Car,Titulo de Fígura Car,TITULO A Car,Akapit z listą BS Car,Cuadro 2-1 Car,Lista 123 Car,Párrafo de lista2 Car,Footnote Car,List Paragraph1 Car,Lista vistosa - Énfasis 11 Car,Bulleted List Car,Cita Pie de Página Car"/>
    <w:link w:val="Prrafodelista"/>
    <w:uiPriority w:val="34"/>
    <w:qFormat/>
    <w:rsid w:val="001A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Programa de Compensaciones para la Competitividad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Planifica Direccion 2</dc:creator>
  <cp:keywords/>
  <dc:description/>
  <cp:lastModifiedBy>Planifica Direccion 2</cp:lastModifiedBy>
  <cp:revision>1</cp:revision>
  <dcterms:created xsi:type="dcterms:W3CDTF">2024-03-01T15:19:00Z</dcterms:created>
  <dcterms:modified xsi:type="dcterms:W3CDTF">2024-03-01T15:20:00Z</dcterms:modified>
</cp:coreProperties>
</file>